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62E" w:rsidRPr="00C6513B" w:rsidRDefault="003A762E" w:rsidP="001C0FEA">
      <w:pPr>
        <w:ind w:left="720" w:firstLine="720"/>
        <w:jc w:val="center"/>
        <w:rPr>
          <w:color w:val="002060"/>
          <w:sz w:val="24"/>
          <w:szCs w:val="24"/>
        </w:rPr>
      </w:pPr>
    </w:p>
    <w:p w:rsidR="00D023F6" w:rsidRPr="00C6513B" w:rsidRDefault="003A762E" w:rsidP="001C0FEA">
      <w:pPr>
        <w:jc w:val="center"/>
        <w:rPr>
          <w:color w:val="002060"/>
          <w:sz w:val="24"/>
          <w:szCs w:val="24"/>
        </w:rPr>
      </w:pPr>
      <w:r w:rsidRPr="00C6513B">
        <w:rPr>
          <w:noProof/>
          <w:color w:val="002060"/>
          <w:sz w:val="24"/>
          <w:szCs w:val="24"/>
        </w:rPr>
        <w:drawing>
          <wp:inline distT="0" distB="0" distL="0" distR="0" wp14:anchorId="1839DA8A" wp14:editId="7E81B001">
            <wp:extent cx="4791075" cy="583125"/>
            <wp:effectExtent l="0" t="0" r="0" b="7620"/>
            <wp:docPr id="1" name="Picture 1" descr="G:\College-Wide\COP Logo Library Rev 7-1-2013\Pharmaceutical Sciences signature set\signature-statione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llege-Wide\COP Logo Library Rev 7-1-2013\Pharmaceutical Sciences signature set\signature-stationery.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02827" cy="584555"/>
                    </a:xfrm>
                    <a:prstGeom prst="rect">
                      <a:avLst/>
                    </a:prstGeom>
                    <a:noFill/>
                    <a:ln>
                      <a:noFill/>
                    </a:ln>
                  </pic:spPr>
                </pic:pic>
              </a:graphicData>
            </a:graphic>
          </wp:inline>
        </w:drawing>
      </w:r>
    </w:p>
    <w:p w:rsidR="00675A22" w:rsidRPr="009B1964" w:rsidRDefault="00675A22" w:rsidP="00675A22">
      <w:pPr>
        <w:rPr>
          <w:color w:val="002060"/>
          <w:sz w:val="16"/>
          <w:szCs w:val="16"/>
        </w:rPr>
      </w:pPr>
    </w:p>
    <w:p w:rsidR="00675A22" w:rsidRPr="009B1964" w:rsidRDefault="00675A22" w:rsidP="00C6513B">
      <w:pPr>
        <w:jc w:val="center"/>
        <w:rPr>
          <w:b/>
          <w:color w:val="002060"/>
          <w:sz w:val="22"/>
          <w:szCs w:val="22"/>
        </w:rPr>
      </w:pPr>
      <w:r w:rsidRPr="009B1964">
        <w:rPr>
          <w:color w:val="002060"/>
          <w:sz w:val="22"/>
          <w:szCs w:val="22"/>
        </w:rPr>
        <w:t>Pharmaceutical Sciences is pleased to announce the</w:t>
      </w:r>
      <w:r w:rsidRPr="009B1964">
        <w:rPr>
          <w:color w:val="002060"/>
          <w:sz w:val="22"/>
          <w:szCs w:val="22"/>
        </w:rPr>
        <w:br/>
      </w:r>
      <w:r w:rsidR="00C6513B" w:rsidRPr="009B1964">
        <w:rPr>
          <w:b/>
          <w:color w:val="002060"/>
          <w:sz w:val="22"/>
          <w:szCs w:val="22"/>
        </w:rPr>
        <w:t>24th John G. Wagner Lecture</w:t>
      </w:r>
    </w:p>
    <w:p w:rsidR="00C6513B" w:rsidRPr="009B1964" w:rsidRDefault="00C6513B" w:rsidP="00C6513B">
      <w:pPr>
        <w:jc w:val="center"/>
        <w:rPr>
          <w:color w:val="002060"/>
          <w:sz w:val="22"/>
          <w:szCs w:val="22"/>
        </w:rPr>
      </w:pPr>
    </w:p>
    <w:p w:rsidR="00E6295D" w:rsidRPr="009B1964" w:rsidRDefault="003603E2" w:rsidP="00C6513B">
      <w:pPr>
        <w:ind w:right="54"/>
        <w:jc w:val="center"/>
        <w:rPr>
          <w:color w:val="002060"/>
          <w:sz w:val="22"/>
          <w:szCs w:val="22"/>
        </w:rPr>
      </w:pPr>
      <w:r>
        <w:rPr>
          <w:color w:val="002060"/>
          <w:sz w:val="22"/>
          <w:szCs w:val="22"/>
        </w:rPr>
        <w:t>Wednesday, October 9, 2019</w:t>
      </w:r>
    </w:p>
    <w:p w:rsidR="00C904B6" w:rsidRPr="009B1964" w:rsidRDefault="003603E2" w:rsidP="00C6513B">
      <w:pPr>
        <w:ind w:right="54"/>
        <w:jc w:val="center"/>
        <w:rPr>
          <w:bCs/>
          <w:color w:val="002060"/>
          <w:sz w:val="22"/>
          <w:szCs w:val="22"/>
        </w:rPr>
      </w:pPr>
      <w:r>
        <w:rPr>
          <w:color w:val="002060"/>
          <w:sz w:val="22"/>
          <w:szCs w:val="22"/>
        </w:rPr>
        <w:t>2548 North University Building</w:t>
      </w:r>
    </w:p>
    <w:p w:rsidR="003A762E" w:rsidRPr="009B1964" w:rsidRDefault="00E6295D" w:rsidP="00C6513B">
      <w:pPr>
        <w:ind w:right="54"/>
        <w:jc w:val="center"/>
        <w:rPr>
          <w:color w:val="002060"/>
          <w:sz w:val="22"/>
          <w:szCs w:val="22"/>
        </w:rPr>
      </w:pPr>
      <w:r w:rsidRPr="009B1964">
        <w:rPr>
          <w:color w:val="002060"/>
          <w:sz w:val="22"/>
          <w:szCs w:val="22"/>
        </w:rPr>
        <w:t>4:00-5:00 pm</w:t>
      </w:r>
    </w:p>
    <w:p w:rsidR="00E6295D" w:rsidRPr="009B1964" w:rsidRDefault="00E6295D" w:rsidP="00C6513B">
      <w:pPr>
        <w:jc w:val="center"/>
        <w:rPr>
          <w:color w:val="002060"/>
          <w:sz w:val="16"/>
          <w:szCs w:val="16"/>
        </w:rPr>
      </w:pPr>
    </w:p>
    <w:p w:rsidR="00E6295D" w:rsidRPr="00C6513B" w:rsidRDefault="003A762E" w:rsidP="009B1964">
      <w:pPr>
        <w:jc w:val="center"/>
        <w:rPr>
          <w:color w:val="002060"/>
          <w:sz w:val="24"/>
          <w:szCs w:val="24"/>
        </w:rPr>
      </w:pPr>
      <w:r w:rsidRPr="00C6513B">
        <w:rPr>
          <w:color w:val="002060"/>
          <w:sz w:val="24"/>
          <w:szCs w:val="24"/>
        </w:rPr>
        <w:t>“</w:t>
      </w:r>
      <w:r w:rsidR="00C6513B" w:rsidRPr="00C6513B">
        <w:rPr>
          <w:color w:val="002060"/>
          <w:sz w:val="24"/>
          <w:szCs w:val="24"/>
        </w:rPr>
        <w:t xml:space="preserve">New hybrid materials for ultrasensitive </w:t>
      </w:r>
      <w:proofErr w:type="spellStart"/>
      <w:r w:rsidR="00C6513B" w:rsidRPr="00C6513B">
        <w:rPr>
          <w:color w:val="002060"/>
          <w:sz w:val="24"/>
          <w:szCs w:val="24"/>
        </w:rPr>
        <w:t>biosensing</w:t>
      </w:r>
      <w:proofErr w:type="spellEnd"/>
      <w:r w:rsidR="00C6513B" w:rsidRPr="00C6513B">
        <w:rPr>
          <w:color w:val="002060"/>
          <w:sz w:val="24"/>
          <w:szCs w:val="24"/>
        </w:rPr>
        <w:t xml:space="preserve"> and regenerative medicine</w:t>
      </w:r>
      <w:r w:rsidRPr="00C6513B">
        <w:rPr>
          <w:color w:val="002060"/>
          <w:sz w:val="24"/>
          <w:szCs w:val="24"/>
        </w:rPr>
        <w:t>”</w:t>
      </w:r>
    </w:p>
    <w:p w:rsidR="00E6295D" w:rsidRPr="009B1964" w:rsidRDefault="00E6295D" w:rsidP="00C6513B">
      <w:pPr>
        <w:ind w:right="54"/>
        <w:jc w:val="center"/>
        <w:rPr>
          <w:color w:val="002060"/>
          <w:sz w:val="12"/>
          <w:szCs w:val="12"/>
        </w:rPr>
      </w:pPr>
    </w:p>
    <w:p w:rsidR="003A762E" w:rsidRPr="00C6513B" w:rsidRDefault="00C6513B" w:rsidP="00C6513B">
      <w:pPr>
        <w:ind w:right="54"/>
        <w:jc w:val="center"/>
        <w:rPr>
          <w:color w:val="002060"/>
          <w:sz w:val="24"/>
          <w:szCs w:val="24"/>
        </w:rPr>
      </w:pPr>
      <w:r w:rsidRPr="00C6513B">
        <w:rPr>
          <w:noProof/>
          <w:color w:val="002060"/>
          <w:sz w:val="24"/>
          <w:szCs w:val="24"/>
        </w:rPr>
        <w:drawing>
          <wp:inline distT="0" distB="0" distL="0" distR="0">
            <wp:extent cx="1385871" cy="2083777"/>
            <wp:effectExtent l="0" t="0" r="5080" b="0"/>
            <wp:docPr id="4" name="Picture 4" descr="U:\Professor Molly Stevens _mi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rofessor Molly Stevens _midr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1223" cy="2106861"/>
                    </a:xfrm>
                    <a:prstGeom prst="rect">
                      <a:avLst/>
                    </a:prstGeom>
                    <a:noFill/>
                    <a:ln>
                      <a:noFill/>
                    </a:ln>
                  </pic:spPr>
                </pic:pic>
              </a:graphicData>
            </a:graphic>
          </wp:inline>
        </w:drawing>
      </w:r>
      <w:bookmarkStart w:id="0" w:name="_GoBack"/>
      <w:bookmarkEnd w:id="0"/>
    </w:p>
    <w:p w:rsidR="006F051E" w:rsidRPr="00C6513B" w:rsidRDefault="00C904B6" w:rsidP="00C6513B">
      <w:pPr>
        <w:ind w:right="54"/>
        <w:jc w:val="center"/>
        <w:rPr>
          <w:color w:val="002060"/>
          <w:sz w:val="24"/>
          <w:szCs w:val="24"/>
        </w:rPr>
      </w:pPr>
      <w:r w:rsidRPr="00C6513B">
        <w:rPr>
          <w:color w:val="002060"/>
          <w:sz w:val="24"/>
          <w:szCs w:val="24"/>
        </w:rPr>
        <w:br/>
      </w:r>
      <w:r w:rsidR="003A762E" w:rsidRPr="00C6513B">
        <w:rPr>
          <w:color w:val="002060"/>
          <w:sz w:val="24"/>
          <w:szCs w:val="24"/>
        </w:rPr>
        <w:t>Presented by:</w:t>
      </w:r>
    </w:p>
    <w:p w:rsidR="003E5DA5" w:rsidRPr="009B1964" w:rsidRDefault="003E5DA5" w:rsidP="00C6513B">
      <w:pPr>
        <w:jc w:val="center"/>
        <w:rPr>
          <w:b/>
          <w:color w:val="002060"/>
          <w:sz w:val="12"/>
          <w:szCs w:val="12"/>
        </w:rPr>
      </w:pPr>
    </w:p>
    <w:p w:rsidR="00C6513B" w:rsidRPr="00C6513B" w:rsidRDefault="00C6513B" w:rsidP="00C6513B">
      <w:pPr>
        <w:jc w:val="center"/>
        <w:rPr>
          <w:color w:val="002060"/>
          <w:sz w:val="24"/>
          <w:szCs w:val="24"/>
        </w:rPr>
      </w:pPr>
      <w:r w:rsidRPr="00C6513B">
        <w:rPr>
          <w:color w:val="002060"/>
          <w:sz w:val="24"/>
          <w:szCs w:val="24"/>
        </w:rPr>
        <w:t>Professor Molly Stevens</w:t>
      </w:r>
    </w:p>
    <w:p w:rsidR="00C6513B" w:rsidRPr="00C6513B" w:rsidRDefault="00C6513B" w:rsidP="00C6513B">
      <w:pPr>
        <w:jc w:val="center"/>
        <w:rPr>
          <w:color w:val="002060"/>
        </w:rPr>
      </w:pPr>
      <w:r w:rsidRPr="00C6513B">
        <w:rPr>
          <w:color w:val="002060"/>
        </w:rPr>
        <w:t>Professor of Biomedical Materials and Regenerative Medicine</w:t>
      </w:r>
    </w:p>
    <w:p w:rsidR="00C6513B" w:rsidRPr="00C6513B" w:rsidRDefault="00C6513B" w:rsidP="00C6513B">
      <w:pPr>
        <w:jc w:val="center"/>
        <w:rPr>
          <w:color w:val="002060"/>
        </w:rPr>
      </w:pPr>
      <w:r w:rsidRPr="00C6513B">
        <w:rPr>
          <w:color w:val="002060"/>
        </w:rPr>
        <w:t>And the Research Director for Biomedical Material Sciences in the Department of Materials</w:t>
      </w:r>
    </w:p>
    <w:p w:rsidR="00C6513B" w:rsidRPr="00C6513B" w:rsidRDefault="00C6513B" w:rsidP="00C6513B">
      <w:pPr>
        <w:jc w:val="center"/>
        <w:rPr>
          <w:color w:val="002060"/>
        </w:rPr>
      </w:pPr>
      <w:r w:rsidRPr="00C6513B">
        <w:rPr>
          <w:color w:val="002060"/>
        </w:rPr>
        <w:t xml:space="preserve">Department of Bioengineering and the Institute of Biomedical Engineering </w:t>
      </w:r>
    </w:p>
    <w:p w:rsidR="00C6513B" w:rsidRPr="009B1964" w:rsidRDefault="00C6513B" w:rsidP="00C6513B">
      <w:pPr>
        <w:jc w:val="center"/>
        <w:rPr>
          <w:color w:val="002060"/>
          <w:sz w:val="16"/>
          <w:szCs w:val="16"/>
        </w:rPr>
      </w:pPr>
      <w:proofErr w:type="gramStart"/>
      <w:r w:rsidRPr="00C6513B">
        <w:rPr>
          <w:color w:val="002060"/>
        </w:rPr>
        <w:t>at</w:t>
      </w:r>
      <w:proofErr w:type="gramEnd"/>
      <w:r w:rsidRPr="00C6513B">
        <w:rPr>
          <w:color w:val="002060"/>
        </w:rPr>
        <w:t xml:space="preserve"> Imperial College London.</w:t>
      </w:r>
      <w:r w:rsidRPr="00C6513B">
        <w:rPr>
          <w:color w:val="002060"/>
        </w:rPr>
        <w:br/>
      </w:r>
    </w:p>
    <w:p w:rsidR="00C6513B" w:rsidRPr="009B1964" w:rsidRDefault="00C6513B" w:rsidP="00C6513B">
      <w:pPr>
        <w:jc w:val="both"/>
        <w:rPr>
          <w:color w:val="002060"/>
        </w:rPr>
      </w:pPr>
      <w:r w:rsidRPr="009B1964">
        <w:rPr>
          <w:color w:val="002060"/>
        </w:rPr>
        <w:t xml:space="preserve">This talk will provide an overview of our recent developments in bio-responsive hybrid </w:t>
      </w:r>
      <w:proofErr w:type="gramStart"/>
      <w:r w:rsidRPr="009B1964">
        <w:rPr>
          <w:color w:val="002060"/>
        </w:rPr>
        <w:t>materials which</w:t>
      </w:r>
      <w:proofErr w:type="gramEnd"/>
      <w:r w:rsidRPr="009B1964">
        <w:rPr>
          <w:color w:val="002060"/>
        </w:rPr>
        <w:t xml:space="preserve"> are of growing importance in the field of disease diagnostics and regenerative medicine [1]. We engineer simple conceptually novel approaches to detect disease biomarkers, such as abnormally regulated enzymes, to extend the detection window for early disease diagnostics and develop high throughput drug screening platforms. This talk will describe our research on the design of polymeric and inorganic nanomaterials for developing sensitive detection assays that are simple, cost-effective and easy deploy to the point-of-care. We are exploiting the sensing capabilities of nanoparticles to engineer paper-based lateral flow immunoassays (LFIAs) and </w:t>
      </w:r>
      <w:proofErr w:type="spellStart"/>
      <w:r w:rsidRPr="009B1964">
        <w:rPr>
          <w:color w:val="002060"/>
        </w:rPr>
        <w:t>nanosensors</w:t>
      </w:r>
      <w:proofErr w:type="spellEnd"/>
      <w:r w:rsidRPr="009B1964">
        <w:rPr>
          <w:color w:val="002060"/>
        </w:rPr>
        <w:t xml:space="preserve"> for in vivo disease diagnostics that produce a colorimetric response ideal naked eye read-out. We integrate our </w:t>
      </w:r>
      <w:proofErr w:type="gramStart"/>
      <w:r w:rsidRPr="009B1964">
        <w:rPr>
          <w:color w:val="002060"/>
        </w:rPr>
        <w:t>nanomaterial based</w:t>
      </w:r>
      <w:proofErr w:type="gramEnd"/>
      <w:r w:rsidRPr="009B1964">
        <w:rPr>
          <w:color w:val="002060"/>
        </w:rPr>
        <w:t xml:space="preserve"> assays into smartphone enabled diagnostic tests for patient self-monitoring, geographical tagging and epidemic surveillance [2]. We have also developed different platforms of </w:t>
      </w:r>
      <w:proofErr w:type="spellStart"/>
      <w:r w:rsidRPr="009B1964">
        <w:rPr>
          <w:color w:val="002060"/>
        </w:rPr>
        <w:t>nanoneedles</w:t>
      </w:r>
      <w:proofErr w:type="spellEnd"/>
      <w:r w:rsidRPr="009B1964">
        <w:rPr>
          <w:color w:val="002060"/>
        </w:rPr>
        <w:t xml:space="preserve"> capable of interfacing with cells to inform multiplexed intracellular </w:t>
      </w:r>
      <w:proofErr w:type="spellStart"/>
      <w:r w:rsidRPr="009B1964">
        <w:rPr>
          <w:color w:val="002060"/>
        </w:rPr>
        <w:t>biosensing</w:t>
      </w:r>
      <w:proofErr w:type="spellEnd"/>
      <w:r w:rsidRPr="009B1964">
        <w:rPr>
          <w:color w:val="002060"/>
        </w:rPr>
        <w:t xml:space="preserve"> at sub-cellular resolution and modulate biological processes [3]. Recent developments in this context </w:t>
      </w:r>
      <w:proofErr w:type="gramStart"/>
      <w:r w:rsidRPr="009B1964">
        <w:rPr>
          <w:color w:val="002060"/>
        </w:rPr>
        <w:t>will be discussed</w:t>
      </w:r>
      <w:proofErr w:type="gramEnd"/>
      <w:r w:rsidRPr="009B1964">
        <w:rPr>
          <w:color w:val="002060"/>
        </w:rPr>
        <w:t>.</w:t>
      </w:r>
    </w:p>
    <w:p w:rsidR="00C6513B" w:rsidRPr="009B1964" w:rsidRDefault="00C6513B" w:rsidP="00C6513B">
      <w:pPr>
        <w:jc w:val="both"/>
        <w:rPr>
          <w:color w:val="002060"/>
          <w:sz w:val="12"/>
          <w:szCs w:val="12"/>
        </w:rPr>
      </w:pPr>
    </w:p>
    <w:p w:rsidR="00C6513B" w:rsidRPr="009B1964" w:rsidRDefault="00C6513B" w:rsidP="00C6513B">
      <w:pPr>
        <w:jc w:val="both"/>
        <w:rPr>
          <w:color w:val="002060"/>
        </w:rPr>
      </w:pPr>
      <w:r w:rsidRPr="009B1964">
        <w:rPr>
          <w:color w:val="002060"/>
        </w:rPr>
        <w:t xml:space="preserve">[1] P. D. </w:t>
      </w:r>
      <w:proofErr w:type="spellStart"/>
      <w:r w:rsidRPr="009B1964">
        <w:rPr>
          <w:color w:val="002060"/>
        </w:rPr>
        <w:t>Howes</w:t>
      </w:r>
      <w:proofErr w:type="spellEnd"/>
      <w:r w:rsidRPr="009B1964">
        <w:rPr>
          <w:color w:val="002060"/>
        </w:rPr>
        <w:t xml:space="preserve">, R. </w:t>
      </w:r>
      <w:proofErr w:type="spellStart"/>
      <w:r w:rsidRPr="009B1964">
        <w:rPr>
          <w:color w:val="002060"/>
        </w:rPr>
        <w:t>Chandrawati</w:t>
      </w:r>
      <w:proofErr w:type="spellEnd"/>
      <w:r w:rsidRPr="009B1964">
        <w:rPr>
          <w:color w:val="002060"/>
        </w:rPr>
        <w:t>, M. M. Stevens. “Colloidal nanoparticles as advanced biological sensors.” Science. 2014. 346: 53-63.</w:t>
      </w:r>
    </w:p>
    <w:p w:rsidR="00C6513B" w:rsidRPr="009B1964" w:rsidRDefault="00C6513B" w:rsidP="00C6513B">
      <w:pPr>
        <w:jc w:val="both"/>
        <w:rPr>
          <w:color w:val="002060"/>
          <w:sz w:val="12"/>
          <w:szCs w:val="12"/>
        </w:rPr>
      </w:pPr>
    </w:p>
    <w:p w:rsidR="00C6513B" w:rsidRPr="009B1964" w:rsidRDefault="00C6513B" w:rsidP="00C6513B">
      <w:pPr>
        <w:jc w:val="both"/>
        <w:rPr>
          <w:color w:val="002060"/>
        </w:rPr>
      </w:pPr>
      <w:r w:rsidRPr="009B1964">
        <w:rPr>
          <w:color w:val="002060"/>
        </w:rPr>
        <w:t xml:space="preserve">[2] C. S. Wood, M. R. Thomas, J. Budd, T. P. </w:t>
      </w:r>
      <w:proofErr w:type="spellStart"/>
      <w:r w:rsidRPr="009B1964">
        <w:rPr>
          <w:color w:val="002060"/>
        </w:rPr>
        <w:t>Mashamba</w:t>
      </w:r>
      <w:proofErr w:type="spellEnd"/>
      <w:r w:rsidRPr="009B1964">
        <w:rPr>
          <w:color w:val="002060"/>
        </w:rPr>
        <w:t xml:space="preserve">-Thompson, K. </w:t>
      </w:r>
      <w:proofErr w:type="spellStart"/>
      <w:r w:rsidRPr="009B1964">
        <w:rPr>
          <w:color w:val="002060"/>
        </w:rPr>
        <w:t>Herbst</w:t>
      </w:r>
      <w:proofErr w:type="spellEnd"/>
      <w:r w:rsidRPr="009B1964">
        <w:rPr>
          <w:color w:val="002060"/>
        </w:rPr>
        <w:t>, D. Pillay, R. W. Peeling, A. M. Johnson, R. A. McKendry, M. M. Stevens. “Taking connected mobile-health diagnostics of infectious diseases to the field.” Nature. 2019. 566: 467-474.</w:t>
      </w:r>
    </w:p>
    <w:p w:rsidR="00C6513B" w:rsidRPr="009B1964" w:rsidRDefault="00C6513B" w:rsidP="00C6513B">
      <w:pPr>
        <w:jc w:val="both"/>
        <w:rPr>
          <w:color w:val="002060"/>
          <w:sz w:val="12"/>
          <w:szCs w:val="12"/>
        </w:rPr>
      </w:pPr>
    </w:p>
    <w:p w:rsidR="00C6513B" w:rsidRPr="009B1964" w:rsidRDefault="00C6513B" w:rsidP="009B1964">
      <w:pPr>
        <w:jc w:val="both"/>
        <w:rPr>
          <w:color w:val="002060"/>
        </w:rPr>
      </w:pPr>
      <w:r w:rsidRPr="009B1964">
        <w:rPr>
          <w:color w:val="002060"/>
        </w:rPr>
        <w:t xml:space="preserve">[3] S. Gopal, C. </w:t>
      </w:r>
      <w:proofErr w:type="spellStart"/>
      <w:r w:rsidRPr="009B1964">
        <w:rPr>
          <w:color w:val="002060"/>
        </w:rPr>
        <w:t>Chiappini</w:t>
      </w:r>
      <w:proofErr w:type="spellEnd"/>
      <w:r w:rsidRPr="009B1964">
        <w:rPr>
          <w:color w:val="002060"/>
        </w:rPr>
        <w:t xml:space="preserve">, J. </w:t>
      </w:r>
      <w:proofErr w:type="spellStart"/>
      <w:r w:rsidRPr="009B1964">
        <w:rPr>
          <w:color w:val="002060"/>
        </w:rPr>
        <w:t>Penders</w:t>
      </w:r>
      <w:proofErr w:type="spellEnd"/>
      <w:r w:rsidRPr="009B1964">
        <w:rPr>
          <w:color w:val="002060"/>
        </w:rPr>
        <w:t xml:space="preserve">, V. Leonardo, H. </w:t>
      </w:r>
      <w:proofErr w:type="spellStart"/>
      <w:r w:rsidRPr="009B1964">
        <w:rPr>
          <w:color w:val="002060"/>
        </w:rPr>
        <w:t>Seong</w:t>
      </w:r>
      <w:proofErr w:type="spellEnd"/>
      <w:r w:rsidRPr="009B1964">
        <w:rPr>
          <w:color w:val="002060"/>
        </w:rPr>
        <w:t xml:space="preserve">, S. </w:t>
      </w:r>
      <w:proofErr w:type="spellStart"/>
      <w:r w:rsidRPr="009B1964">
        <w:rPr>
          <w:color w:val="002060"/>
        </w:rPr>
        <w:t>Rothery</w:t>
      </w:r>
      <w:proofErr w:type="spellEnd"/>
      <w:r w:rsidRPr="009B1964">
        <w:rPr>
          <w:color w:val="002060"/>
        </w:rPr>
        <w:t xml:space="preserve">, Y. </w:t>
      </w:r>
      <w:proofErr w:type="spellStart"/>
      <w:r w:rsidRPr="009B1964">
        <w:rPr>
          <w:color w:val="002060"/>
        </w:rPr>
        <w:t>Korchev</w:t>
      </w:r>
      <w:proofErr w:type="spellEnd"/>
      <w:r w:rsidRPr="009B1964">
        <w:rPr>
          <w:color w:val="002060"/>
        </w:rPr>
        <w:t xml:space="preserve">, A. </w:t>
      </w:r>
      <w:proofErr w:type="spellStart"/>
      <w:r w:rsidRPr="009B1964">
        <w:rPr>
          <w:color w:val="002060"/>
        </w:rPr>
        <w:t>Shevchuk</w:t>
      </w:r>
      <w:proofErr w:type="spellEnd"/>
      <w:r w:rsidRPr="009B1964">
        <w:rPr>
          <w:color w:val="002060"/>
        </w:rPr>
        <w:t xml:space="preserve">, M. M. Stevens. "Porous silicon </w:t>
      </w:r>
      <w:proofErr w:type="spellStart"/>
      <w:r w:rsidRPr="009B1964">
        <w:rPr>
          <w:color w:val="002060"/>
        </w:rPr>
        <w:t>nanoneedles</w:t>
      </w:r>
      <w:proofErr w:type="spellEnd"/>
      <w:r w:rsidRPr="009B1964">
        <w:rPr>
          <w:color w:val="002060"/>
        </w:rPr>
        <w:t xml:space="preserve"> modulate endocytosis to deliver biological payloads." </w:t>
      </w:r>
      <w:r w:rsidRPr="009B1964">
        <w:rPr>
          <w:bCs/>
          <w:color w:val="002060"/>
        </w:rPr>
        <w:t>Advanced Materials.</w:t>
      </w:r>
      <w:r w:rsidRPr="009B1964">
        <w:rPr>
          <w:color w:val="002060"/>
        </w:rPr>
        <w:t xml:space="preserve"> 2019. 31(12):1806788.</w:t>
      </w:r>
    </w:p>
    <w:p w:rsidR="001C0FEA" w:rsidRPr="00C6513B" w:rsidRDefault="001C0FEA" w:rsidP="00C6513B">
      <w:pPr>
        <w:pStyle w:val="m-2046082800384113217m-4992037821034013369msoplaintext"/>
        <w:spacing w:before="0" w:beforeAutospacing="0" w:after="0" w:afterAutospacing="0"/>
        <w:jc w:val="both"/>
        <w:rPr>
          <w:color w:val="002060"/>
        </w:rPr>
      </w:pPr>
    </w:p>
    <w:p w:rsidR="006F051E" w:rsidRPr="009B1964" w:rsidRDefault="006F051E" w:rsidP="001C0FEA">
      <w:pPr>
        <w:pStyle w:val="m-2046082800384113217m-4992037821034013369msoplaintext"/>
        <w:spacing w:before="0" w:beforeAutospacing="0" w:after="0" w:afterAutospacing="0"/>
        <w:jc w:val="center"/>
        <w:rPr>
          <w:color w:val="002060"/>
          <w:sz w:val="20"/>
          <w:szCs w:val="20"/>
        </w:rPr>
      </w:pPr>
      <w:r w:rsidRPr="009B1964">
        <w:rPr>
          <w:color w:val="002060"/>
          <w:sz w:val="20"/>
          <w:szCs w:val="20"/>
        </w:rPr>
        <w:t xml:space="preserve">For more information on the weekly </w:t>
      </w:r>
      <w:proofErr w:type="spellStart"/>
      <w:r w:rsidRPr="009B1964">
        <w:rPr>
          <w:color w:val="002060"/>
          <w:sz w:val="20"/>
          <w:szCs w:val="20"/>
        </w:rPr>
        <w:t>PharmSci</w:t>
      </w:r>
      <w:proofErr w:type="spellEnd"/>
      <w:r w:rsidRPr="009B1964">
        <w:rPr>
          <w:color w:val="002060"/>
          <w:sz w:val="20"/>
          <w:szCs w:val="20"/>
        </w:rPr>
        <w:t xml:space="preserve"> department</w:t>
      </w:r>
    </w:p>
    <w:p w:rsidR="006F051E" w:rsidRPr="009B1964" w:rsidRDefault="006F051E" w:rsidP="001C0FEA">
      <w:pPr>
        <w:pStyle w:val="PlainText"/>
        <w:ind w:left="800"/>
        <w:jc w:val="center"/>
        <w:rPr>
          <w:rFonts w:ascii="Times New Roman" w:hAnsi="Times New Roman" w:cs="Times New Roman"/>
          <w:color w:val="002060"/>
          <w:sz w:val="20"/>
          <w:szCs w:val="20"/>
        </w:rPr>
      </w:pPr>
      <w:r w:rsidRPr="009B1964">
        <w:rPr>
          <w:rFonts w:ascii="Times New Roman" w:hAnsi="Times New Roman" w:cs="Times New Roman"/>
          <w:color w:val="002060"/>
          <w:sz w:val="20"/>
          <w:szCs w:val="20"/>
        </w:rPr>
        <w:t>Seminar series, please view our website:</w:t>
      </w:r>
    </w:p>
    <w:p w:rsidR="006F051E" w:rsidRPr="009B1964" w:rsidRDefault="006F051E" w:rsidP="001C0FEA">
      <w:pPr>
        <w:pStyle w:val="PlainText"/>
        <w:ind w:left="800"/>
        <w:jc w:val="center"/>
        <w:rPr>
          <w:rFonts w:ascii="Times New Roman" w:hAnsi="Times New Roman" w:cs="Times New Roman"/>
          <w:color w:val="002060"/>
          <w:sz w:val="20"/>
          <w:szCs w:val="20"/>
        </w:rPr>
      </w:pPr>
      <w:r w:rsidRPr="009B1964">
        <w:rPr>
          <w:rFonts w:ascii="Times New Roman" w:hAnsi="Times New Roman" w:cs="Times New Roman"/>
          <w:color w:val="002060"/>
          <w:sz w:val="20"/>
          <w:szCs w:val="20"/>
        </w:rPr>
        <w:t>https://pharmacy.umich.edu/pharmsci/seminars</w:t>
      </w:r>
    </w:p>
    <w:p w:rsidR="00B016B5" w:rsidRPr="00C6513B" w:rsidRDefault="00B016B5" w:rsidP="001C0FEA">
      <w:pPr>
        <w:ind w:right="54"/>
        <w:jc w:val="center"/>
        <w:rPr>
          <w:color w:val="002060"/>
          <w:sz w:val="24"/>
          <w:szCs w:val="24"/>
        </w:rPr>
      </w:pPr>
    </w:p>
    <w:sectPr w:rsidR="00B016B5" w:rsidRPr="00C6513B" w:rsidSect="009B1964">
      <w:pgSz w:w="12240" w:h="15840"/>
      <w:pgMar w:top="630" w:right="1008" w:bottom="180" w:left="1008" w:header="720" w:footer="720" w:gutter="0"/>
      <w:pgBorders w:offsetFrom="page">
        <w:top w:val="thinThickThinMediumGap" w:sz="36" w:space="24" w:color="auto"/>
        <w:left w:val="thinThickThinMediumGap" w:sz="36" w:space="24" w:color="auto"/>
        <w:bottom w:val="thinThickThinMediumGap" w:sz="36" w:space="24" w:color="auto"/>
        <w:right w:val="thinThickThinMediumGap" w:sz="36"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62E"/>
    <w:rsid w:val="00193F70"/>
    <w:rsid w:val="001C0FEA"/>
    <w:rsid w:val="00243606"/>
    <w:rsid w:val="00275874"/>
    <w:rsid w:val="003603E2"/>
    <w:rsid w:val="003A762E"/>
    <w:rsid w:val="003E5DA5"/>
    <w:rsid w:val="003F1306"/>
    <w:rsid w:val="00675A22"/>
    <w:rsid w:val="006F051E"/>
    <w:rsid w:val="00786033"/>
    <w:rsid w:val="009A25DF"/>
    <w:rsid w:val="009B1964"/>
    <w:rsid w:val="00B016B5"/>
    <w:rsid w:val="00B44CE2"/>
    <w:rsid w:val="00C6513B"/>
    <w:rsid w:val="00C904B6"/>
    <w:rsid w:val="00D023F6"/>
    <w:rsid w:val="00E6295D"/>
    <w:rsid w:val="00E70061"/>
    <w:rsid w:val="00F77F2A"/>
    <w:rsid w:val="00FE5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FD275"/>
  <w15:chartTrackingRefBased/>
  <w15:docId w15:val="{F6DFA4D9-CA3F-447A-9733-9A58A1DD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62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A762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A762E"/>
    <w:rPr>
      <w:rFonts w:ascii="Calibri" w:hAnsi="Calibri"/>
      <w:szCs w:val="21"/>
    </w:rPr>
  </w:style>
  <w:style w:type="paragraph" w:styleId="BalloonText">
    <w:name w:val="Balloon Text"/>
    <w:basedOn w:val="Normal"/>
    <w:link w:val="BalloonTextChar"/>
    <w:uiPriority w:val="99"/>
    <w:semiHidden/>
    <w:unhideWhenUsed/>
    <w:rsid w:val="003A76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62E"/>
    <w:rPr>
      <w:rFonts w:ascii="Segoe UI" w:eastAsia="Times New Roman" w:hAnsi="Segoe UI" w:cs="Segoe UI"/>
      <w:sz w:val="18"/>
      <w:szCs w:val="18"/>
    </w:rPr>
  </w:style>
  <w:style w:type="paragraph" w:styleId="NormalWeb">
    <w:name w:val="Normal (Web)"/>
    <w:basedOn w:val="Normal"/>
    <w:uiPriority w:val="99"/>
    <w:semiHidden/>
    <w:unhideWhenUsed/>
    <w:rsid w:val="00C904B6"/>
    <w:pPr>
      <w:spacing w:before="100" w:beforeAutospacing="1" w:after="100" w:afterAutospacing="1"/>
    </w:pPr>
    <w:rPr>
      <w:rFonts w:eastAsiaTheme="minorHAnsi"/>
      <w:sz w:val="24"/>
      <w:szCs w:val="24"/>
    </w:rPr>
  </w:style>
  <w:style w:type="paragraph" w:customStyle="1" w:styleId="m-2046082800384113217m-4992037821034013369msoplaintext">
    <w:name w:val="m_-2046082800384113217m_-4992037821034013369msoplaintext"/>
    <w:basedOn w:val="Normal"/>
    <w:uiPriority w:val="99"/>
    <w:rsid w:val="00243606"/>
    <w:pPr>
      <w:spacing w:before="100" w:beforeAutospacing="1" w:after="100" w:afterAutospacing="1"/>
    </w:pPr>
    <w:rPr>
      <w:rFonts w:eastAsiaTheme="minorHAnsi"/>
      <w:sz w:val="24"/>
      <w:szCs w:val="24"/>
    </w:rPr>
  </w:style>
  <w:style w:type="paragraph" w:styleId="Title">
    <w:name w:val="Title"/>
    <w:basedOn w:val="Normal"/>
    <w:link w:val="TitleChar"/>
    <w:qFormat/>
    <w:rsid w:val="00243606"/>
    <w:pPr>
      <w:jc w:val="center"/>
    </w:pPr>
    <w:rPr>
      <w:b/>
      <w:sz w:val="28"/>
    </w:rPr>
  </w:style>
  <w:style w:type="character" w:customStyle="1" w:styleId="TitleChar">
    <w:name w:val="Title Char"/>
    <w:basedOn w:val="DefaultParagraphFont"/>
    <w:link w:val="Title"/>
    <w:rsid w:val="00243606"/>
    <w:rPr>
      <w:rFonts w:ascii="Times New Roman" w:eastAsia="Times New Roman" w:hAnsi="Times New Roman" w:cs="Times New Roman"/>
      <w:b/>
      <w:sz w:val="28"/>
      <w:szCs w:val="20"/>
    </w:rPr>
  </w:style>
  <w:style w:type="paragraph" w:customStyle="1" w:styleId="text-muted">
    <w:name w:val="text-muted"/>
    <w:basedOn w:val="Normal"/>
    <w:rsid w:val="00243606"/>
    <w:pPr>
      <w:spacing w:before="100" w:beforeAutospacing="1" w:after="100" w:afterAutospacing="1"/>
    </w:pPr>
    <w:rPr>
      <w:sz w:val="24"/>
      <w:szCs w:val="24"/>
    </w:rPr>
  </w:style>
  <w:style w:type="character" w:styleId="Hyperlink">
    <w:name w:val="Hyperlink"/>
    <w:basedOn w:val="DefaultParagraphFont"/>
    <w:uiPriority w:val="99"/>
    <w:semiHidden/>
    <w:unhideWhenUsed/>
    <w:rsid w:val="00C6513B"/>
    <w:rPr>
      <w:color w:val="0000FF"/>
      <w:u w:val="single"/>
    </w:rPr>
  </w:style>
  <w:style w:type="character" w:styleId="FollowedHyperlink">
    <w:name w:val="FollowedHyperlink"/>
    <w:basedOn w:val="DefaultParagraphFont"/>
    <w:uiPriority w:val="99"/>
    <w:semiHidden/>
    <w:unhideWhenUsed/>
    <w:rsid w:val="00C651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36459">
      <w:bodyDiv w:val="1"/>
      <w:marLeft w:val="0"/>
      <w:marRight w:val="0"/>
      <w:marTop w:val="0"/>
      <w:marBottom w:val="0"/>
      <w:divBdr>
        <w:top w:val="none" w:sz="0" w:space="0" w:color="auto"/>
        <w:left w:val="none" w:sz="0" w:space="0" w:color="auto"/>
        <w:bottom w:val="none" w:sz="0" w:space="0" w:color="auto"/>
        <w:right w:val="none" w:sz="0" w:space="0" w:color="auto"/>
      </w:divBdr>
    </w:div>
    <w:div w:id="519658609">
      <w:bodyDiv w:val="1"/>
      <w:marLeft w:val="0"/>
      <w:marRight w:val="0"/>
      <w:marTop w:val="0"/>
      <w:marBottom w:val="0"/>
      <w:divBdr>
        <w:top w:val="none" w:sz="0" w:space="0" w:color="auto"/>
        <w:left w:val="none" w:sz="0" w:space="0" w:color="auto"/>
        <w:bottom w:val="none" w:sz="0" w:space="0" w:color="auto"/>
        <w:right w:val="none" w:sz="0" w:space="0" w:color="auto"/>
      </w:divBdr>
    </w:div>
    <w:div w:id="1139154740">
      <w:bodyDiv w:val="1"/>
      <w:marLeft w:val="0"/>
      <w:marRight w:val="0"/>
      <w:marTop w:val="0"/>
      <w:marBottom w:val="0"/>
      <w:divBdr>
        <w:top w:val="none" w:sz="0" w:space="0" w:color="auto"/>
        <w:left w:val="none" w:sz="0" w:space="0" w:color="auto"/>
        <w:bottom w:val="none" w:sz="0" w:space="0" w:color="auto"/>
        <w:right w:val="none" w:sz="0" w:space="0" w:color="auto"/>
      </w:divBdr>
    </w:div>
    <w:div w:id="1359045317">
      <w:bodyDiv w:val="1"/>
      <w:marLeft w:val="0"/>
      <w:marRight w:val="0"/>
      <w:marTop w:val="0"/>
      <w:marBottom w:val="0"/>
      <w:divBdr>
        <w:top w:val="none" w:sz="0" w:space="0" w:color="auto"/>
        <w:left w:val="none" w:sz="0" w:space="0" w:color="auto"/>
        <w:bottom w:val="none" w:sz="0" w:space="0" w:color="auto"/>
        <w:right w:val="none" w:sz="0" w:space="0" w:color="auto"/>
      </w:divBdr>
    </w:div>
    <w:div w:id="1525054619">
      <w:bodyDiv w:val="1"/>
      <w:marLeft w:val="0"/>
      <w:marRight w:val="0"/>
      <w:marTop w:val="0"/>
      <w:marBottom w:val="0"/>
      <w:divBdr>
        <w:top w:val="none" w:sz="0" w:space="0" w:color="auto"/>
        <w:left w:val="none" w:sz="0" w:space="0" w:color="auto"/>
        <w:bottom w:val="none" w:sz="0" w:space="0" w:color="auto"/>
        <w:right w:val="none" w:sz="0" w:space="0" w:color="auto"/>
      </w:divBdr>
    </w:div>
    <w:div w:id="205318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Patrina</dc:creator>
  <cp:keywords/>
  <dc:description/>
  <cp:lastModifiedBy>Hardy, Patrina</cp:lastModifiedBy>
  <cp:revision>4</cp:revision>
  <cp:lastPrinted>2019-09-04T19:10:00Z</cp:lastPrinted>
  <dcterms:created xsi:type="dcterms:W3CDTF">2019-09-04T18:57:00Z</dcterms:created>
  <dcterms:modified xsi:type="dcterms:W3CDTF">2019-09-16T13:56:00Z</dcterms:modified>
</cp:coreProperties>
</file>