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D1" w:rsidRPr="0065775D" w:rsidRDefault="00527CD1" w:rsidP="00527CD1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65775D">
        <w:rPr>
          <w:rFonts w:ascii="Arial" w:hAnsi="Arial" w:cs="Arial"/>
          <w:b/>
          <w:color w:val="auto"/>
          <w:sz w:val="24"/>
          <w:szCs w:val="24"/>
        </w:rPr>
        <w:t>ABSTRACT, Kari Nieto, Seminar 1- Dec 9</w:t>
      </w:r>
      <w:r w:rsidRPr="0065775D">
        <w:rPr>
          <w:rFonts w:ascii="Arial" w:hAnsi="Arial" w:cs="Arial"/>
          <w:b/>
          <w:color w:val="auto"/>
          <w:sz w:val="24"/>
          <w:szCs w:val="24"/>
          <w:vertAlign w:val="superscript"/>
        </w:rPr>
        <w:t>th</w:t>
      </w:r>
      <w:r w:rsidRPr="0065775D">
        <w:rPr>
          <w:rFonts w:ascii="Arial" w:hAnsi="Arial" w:cs="Arial"/>
          <w:b/>
          <w:color w:val="auto"/>
          <w:sz w:val="24"/>
          <w:szCs w:val="24"/>
        </w:rPr>
        <w:t>, 2015</w:t>
      </w:r>
    </w:p>
    <w:p w:rsidR="00957D0B" w:rsidRPr="0065775D" w:rsidRDefault="00957D0B" w:rsidP="00957D0B">
      <w:pPr>
        <w:rPr>
          <w:rFonts w:ascii="Arial" w:eastAsiaTheme="majorEastAsia" w:hAnsi="Arial" w:cs="Arial"/>
          <w:b/>
          <w:sz w:val="24"/>
          <w:szCs w:val="24"/>
        </w:rPr>
      </w:pPr>
    </w:p>
    <w:p w:rsidR="00393285" w:rsidRPr="0065775D" w:rsidRDefault="00B77F36" w:rsidP="00957D0B">
      <w:pPr>
        <w:rPr>
          <w:rFonts w:ascii="Arial" w:eastAsiaTheme="majorEastAsia" w:hAnsi="Arial" w:cs="Arial"/>
          <w:b/>
          <w:sz w:val="24"/>
          <w:szCs w:val="24"/>
        </w:rPr>
      </w:pPr>
      <w:r>
        <w:rPr>
          <w:rFonts w:ascii="Arial" w:eastAsiaTheme="majorEastAsia" w:hAnsi="Arial" w:cs="Arial"/>
          <w:b/>
          <w:sz w:val="24"/>
          <w:szCs w:val="24"/>
        </w:rPr>
        <w:t xml:space="preserve">Local Controlled Release of </w:t>
      </w:r>
      <w:proofErr w:type="spellStart"/>
      <w:r>
        <w:rPr>
          <w:rFonts w:ascii="Arial" w:eastAsiaTheme="majorEastAsia" w:hAnsi="Arial" w:cs="Arial"/>
          <w:b/>
          <w:sz w:val="24"/>
          <w:szCs w:val="24"/>
        </w:rPr>
        <w:t>F</w:t>
      </w:r>
      <w:r w:rsidR="00957D0B" w:rsidRPr="0065775D">
        <w:rPr>
          <w:rFonts w:ascii="Arial" w:eastAsiaTheme="majorEastAsia" w:hAnsi="Arial" w:cs="Arial"/>
          <w:b/>
          <w:sz w:val="24"/>
          <w:szCs w:val="24"/>
        </w:rPr>
        <w:t>enr</w:t>
      </w:r>
      <w:r>
        <w:rPr>
          <w:rFonts w:ascii="Arial" w:eastAsiaTheme="majorEastAsia" w:hAnsi="Arial" w:cs="Arial"/>
          <w:b/>
          <w:sz w:val="24"/>
          <w:szCs w:val="24"/>
        </w:rPr>
        <w:t>etinide</w:t>
      </w:r>
      <w:proofErr w:type="spellEnd"/>
      <w:r>
        <w:rPr>
          <w:rFonts w:ascii="Arial" w:eastAsiaTheme="majorEastAsia" w:hAnsi="Arial" w:cs="Arial"/>
          <w:b/>
          <w:sz w:val="24"/>
          <w:szCs w:val="24"/>
        </w:rPr>
        <w:t xml:space="preserve"> for C</w:t>
      </w:r>
      <w:r w:rsidR="0065775D" w:rsidRPr="0065775D">
        <w:rPr>
          <w:rFonts w:ascii="Arial" w:eastAsiaTheme="majorEastAsia" w:hAnsi="Arial" w:cs="Arial"/>
          <w:b/>
          <w:sz w:val="24"/>
          <w:szCs w:val="24"/>
        </w:rPr>
        <w:t xml:space="preserve">hemoprevention of </w:t>
      </w:r>
      <w:r>
        <w:rPr>
          <w:rFonts w:ascii="Arial" w:eastAsiaTheme="majorEastAsia" w:hAnsi="Arial" w:cs="Arial"/>
          <w:b/>
          <w:sz w:val="24"/>
          <w:szCs w:val="24"/>
        </w:rPr>
        <w:t>Oral C</w:t>
      </w:r>
      <w:r w:rsidR="00957D0B" w:rsidRPr="0065775D">
        <w:rPr>
          <w:rFonts w:ascii="Arial" w:eastAsiaTheme="majorEastAsia" w:hAnsi="Arial" w:cs="Arial"/>
          <w:b/>
          <w:sz w:val="24"/>
          <w:szCs w:val="24"/>
        </w:rPr>
        <w:t>ancer</w:t>
      </w:r>
    </w:p>
    <w:p w:rsidR="00957D0B" w:rsidRPr="0065775D" w:rsidRDefault="00957D0B" w:rsidP="00957D0B">
      <w:pPr>
        <w:rPr>
          <w:rFonts w:ascii="Arial" w:eastAsiaTheme="majorEastAsia" w:hAnsi="Arial" w:cs="Arial"/>
          <w:b/>
          <w:sz w:val="24"/>
          <w:szCs w:val="24"/>
        </w:rPr>
      </w:pPr>
    </w:p>
    <w:p w:rsidR="00146E89" w:rsidRPr="0065775D" w:rsidRDefault="00527CD1" w:rsidP="00146E89">
      <w:pPr>
        <w:spacing w:line="360" w:lineRule="auto"/>
        <w:ind w:firstLine="720"/>
        <w:rPr>
          <w:rFonts w:ascii="Arial" w:eastAsia="Times New Roman" w:hAnsi="Arial" w:cs="Arial"/>
          <w:color w:val="000000"/>
        </w:rPr>
      </w:pPr>
      <w:r w:rsidRPr="0065775D">
        <w:rPr>
          <w:rFonts w:ascii="Arial" w:eastAsia="Calibri" w:hAnsi="Arial" w:cs="Arial"/>
          <w:color w:val="000000"/>
        </w:rPr>
        <w:t xml:space="preserve">Head and neck squamous cell carcinoma (HNSCC) </w:t>
      </w:r>
      <w:r w:rsidR="00146E89" w:rsidRPr="0065775D">
        <w:rPr>
          <w:rFonts w:ascii="Arial" w:eastAsia="Calibri" w:hAnsi="Arial" w:cs="Arial"/>
          <w:color w:val="000000"/>
        </w:rPr>
        <w:t xml:space="preserve">is a worldwide health concern, and it is </w:t>
      </w:r>
      <w:r w:rsidRPr="0065775D">
        <w:rPr>
          <w:rFonts w:ascii="Arial" w:eastAsia="Calibri" w:hAnsi="Arial" w:cs="Arial"/>
          <w:color w:val="000000"/>
        </w:rPr>
        <w:t xml:space="preserve">estimated that over 550,000 new HNSCC cases will be diagnosed in 2015.  </w:t>
      </w:r>
      <w:r w:rsidR="00957D0B" w:rsidRPr="0065775D">
        <w:rPr>
          <w:rFonts w:ascii="Arial" w:eastAsia="Calibri" w:hAnsi="Arial" w:cs="Arial"/>
          <w:color w:val="000000"/>
        </w:rPr>
        <w:t xml:space="preserve">Despite treatment advances that include intraoperative radiation, the 5-year survival rates of persons with HNSCC is discouraging low (50%).  </w:t>
      </w:r>
      <w:r w:rsidR="00957D0B" w:rsidRPr="0065775D">
        <w:rPr>
          <w:rFonts w:ascii="Arial" w:eastAsia="Times New Roman" w:hAnsi="Arial" w:cs="Arial"/>
          <w:color w:val="000000"/>
        </w:rPr>
        <w:t>The synthetic analogue of all-</w:t>
      </w:r>
      <w:r w:rsidR="00957D0B" w:rsidRPr="0049324E">
        <w:rPr>
          <w:rFonts w:ascii="Arial" w:eastAsia="Times New Roman" w:hAnsi="Arial" w:cs="Arial"/>
          <w:i/>
          <w:color w:val="000000"/>
        </w:rPr>
        <w:t xml:space="preserve">trans </w:t>
      </w:r>
      <w:r w:rsidR="00957D0B" w:rsidRPr="0065775D">
        <w:rPr>
          <w:rFonts w:ascii="Arial" w:eastAsia="Times New Roman" w:hAnsi="Arial" w:cs="Arial"/>
          <w:color w:val="000000"/>
        </w:rPr>
        <w:t xml:space="preserve">retinoic acid, </w:t>
      </w:r>
      <w:proofErr w:type="spellStart"/>
      <w:r w:rsidR="00957D0B" w:rsidRPr="0065775D">
        <w:rPr>
          <w:rFonts w:ascii="Arial" w:eastAsia="Times New Roman" w:hAnsi="Arial" w:cs="Arial"/>
          <w:color w:val="000000"/>
        </w:rPr>
        <w:t>fenretinide</w:t>
      </w:r>
      <w:proofErr w:type="spellEnd"/>
      <w:r w:rsidR="00957D0B" w:rsidRPr="0065775D">
        <w:rPr>
          <w:rFonts w:ascii="Arial" w:eastAsia="Times New Roman" w:hAnsi="Arial" w:cs="Arial"/>
          <w:color w:val="000000"/>
        </w:rPr>
        <w:t xml:space="preserve"> (4HPR), is a highly active and promising </w:t>
      </w:r>
      <w:proofErr w:type="spellStart"/>
      <w:r w:rsidR="00957D0B" w:rsidRPr="0065775D">
        <w:rPr>
          <w:rFonts w:ascii="Arial" w:eastAsia="Times New Roman" w:hAnsi="Arial" w:cs="Arial"/>
          <w:color w:val="000000"/>
        </w:rPr>
        <w:t>chemopreventive</w:t>
      </w:r>
      <w:proofErr w:type="spellEnd"/>
      <w:r w:rsidR="00957D0B" w:rsidRPr="0065775D">
        <w:rPr>
          <w:rFonts w:ascii="Arial" w:eastAsia="Times New Roman" w:hAnsi="Arial" w:cs="Arial"/>
          <w:color w:val="000000"/>
        </w:rPr>
        <w:t xml:space="preserve"> agent for </w:t>
      </w:r>
      <w:r w:rsidR="0050780A" w:rsidRPr="0065775D">
        <w:rPr>
          <w:rFonts w:ascii="Arial" w:eastAsia="Times New Roman" w:hAnsi="Arial" w:cs="Arial"/>
          <w:color w:val="000000"/>
        </w:rPr>
        <w:t>oral</w:t>
      </w:r>
      <w:r w:rsidR="00C23475" w:rsidRPr="0065775D">
        <w:rPr>
          <w:rFonts w:ascii="Arial" w:eastAsia="Times New Roman" w:hAnsi="Arial" w:cs="Arial"/>
          <w:color w:val="000000"/>
        </w:rPr>
        <w:t xml:space="preserve"> cancers</w:t>
      </w:r>
      <w:r w:rsidR="00957D0B" w:rsidRPr="0065775D">
        <w:rPr>
          <w:rFonts w:ascii="Arial" w:hAnsi="Arial" w:cs="Arial"/>
        </w:rPr>
        <w:t>.</w:t>
      </w:r>
      <w:r w:rsidR="00957D0B" w:rsidRPr="0065775D">
        <w:rPr>
          <w:rFonts w:ascii="Arial" w:eastAsia="Times New Roman" w:hAnsi="Arial" w:cs="Arial"/>
          <w:color w:val="000000"/>
        </w:rPr>
        <w:t xml:space="preserve">  </w:t>
      </w:r>
      <w:r w:rsidR="00957D0B" w:rsidRPr="0065775D">
        <w:rPr>
          <w:rFonts w:ascii="Arial" w:eastAsia="Calibri" w:hAnsi="Arial" w:cs="Arial"/>
          <w:color w:val="000000"/>
          <w:lang w:val="en"/>
        </w:rPr>
        <w:t xml:space="preserve">Numerous oral cancer </w:t>
      </w:r>
      <w:bookmarkStart w:id="0" w:name="_GoBack"/>
      <w:bookmarkEnd w:id="0"/>
      <w:r w:rsidR="00957D0B" w:rsidRPr="0065775D">
        <w:rPr>
          <w:rFonts w:ascii="Arial" w:eastAsia="Calibri" w:hAnsi="Arial" w:cs="Arial"/>
          <w:color w:val="000000"/>
          <w:lang w:val="en"/>
        </w:rPr>
        <w:t>chemoprevention clinical trials have been conducted that employed systemically delivered 4HPR, however the disappointing results were due to an inability to achieve therapeut</w:t>
      </w:r>
      <w:r w:rsidR="00146E89" w:rsidRPr="0065775D">
        <w:rPr>
          <w:rFonts w:ascii="Arial" w:eastAsia="Calibri" w:hAnsi="Arial" w:cs="Arial"/>
          <w:color w:val="000000"/>
          <w:lang w:val="en"/>
        </w:rPr>
        <w:t>ic levels at the treatment site.</w:t>
      </w:r>
      <w:r w:rsidR="0050780A" w:rsidRPr="0065775D">
        <w:rPr>
          <w:rFonts w:ascii="Arial" w:eastAsia="Calibri" w:hAnsi="Arial" w:cs="Arial"/>
          <w:color w:val="000000"/>
          <w:lang w:val="en"/>
        </w:rPr>
        <w:t xml:space="preserve">  </w:t>
      </w:r>
      <w:r w:rsidR="00957D0B" w:rsidRPr="0065775D">
        <w:rPr>
          <w:rFonts w:ascii="Arial" w:eastAsia="Calibri" w:hAnsi="Arial" w:cs="Arial"/>
          <w:color w:val="000000"/>
          <w:lang w:val="en"/>
        </w:rPr>
        <w:t xml:space="preserve">In order to derive the therapeutic benefits of 4HPR </w:t>
      </w:r>
      <w:r w:rsidR="00957D0B" w:rsidRPr="0065775D">
        <w:rPr>
          <w:rFonts w:ascii="Arial" w:eastAsia="Calibri" w:hAnsi="Arial" w:cs="Arial"/>
          <w:i/>
          <w:color w:val="000000"/>
          <w:lang w:val="en"/>
        </w:rPr>
        <w:t>in vitro</w:t>
      </w:r>
      <w:r w:rsidR="00957D0B" w:rsidRPr="0065775D">
        <w:rPr>
          <w:rFonts w:ascii="Arial" w:eastAsia="Calibri" w:hAnsi="Arial" w:cs="Arial"/>
          <w:color w:val="000000"/>
          <w:lang w:val="en"/>
        </w:rPr>
        <w:t xml:space="preserve"> and alleviate systemic toxicity, we </w:t>
      </w:r>
      <w:r w:rsidR="00A311B7" w:rsidRPr="0065775D">
        <w:rPr>
          <w:rFonts w:ascii="Arial" w:eastAsia="Calibri" w:hAnsi="Arial" w:cs="Arial"/>
          <w:color w:val="000000"/>
          <w:lang w:val="en"/>
        </w:rPr>
        <w:t>are developing</w:t>
      </w:r>
      <w:r w:rsidR="00191AE9">
        <w:rPr>
          <w:rFonts w:ascii="Arial" w:eastAsia="Calibri" w:hAnsi="Arial" w:cs="Arial"/>
          <w:color w:val="000000"/>
          <w:lang w:val="en"/>
        </w:rPr>
        <w:t xml:space="preserve"> a</w:t>
      </w:r>
      <w:r w:rsidR="00957D0B" w:rsidRPr="0065775D">
        <w:rPr>
          <w:rFonts w:ascii="Arial" w:eastAsia="Calibri" w:hAnsi="Arial" w:cs="Arial"/>
          <w:color w:val="000000"/>
          <w:lang w:val="en"/>
        </w:rPr>
        <w:t xml:space="preserve"> local </w:t>
      </w:r>
      <w:r w:rsidR="000F5049" w:rsidRPr="0065775D">
        <w:rPr>
          <w:rFonts w:ascii="Arial" w:eastAsia="Calibri" w:hAnsi="Arial" w:cs="Arial"/>
          <w:color w:val="000000"/>
          <w:lang w:val="en"/>
        </w:rPr>
        <w:t xml:space="preserve">controlled release </w:t>
      </w:r>
      <w:r w:rsidR="00A311B7" w:rsidRPr="0065775D">
        <w:rPr>
          <w:rFonts w:ascii="Arial" w:eastAsia="Calibri" w:hAnsi="Arial" w:cs="Arial"/>
          <w:color w:val="000000"/>
          <w:lang w:val="en"/>
        </w:rPr>
        <w:t>(CR) approach for</w:t>
      </w:r>
      <w:r w:rsidR="000F5049" w:rsidRPr="0065775D">
        <w:rPr>
          <w:rFonts w:ascii="Arial" w:eastAsia="Calibri" w:hAnsi="Arial" w:cs="Arial"/>
          <w:color w:val="000000"/>
          <w:lang w:val="en"/>
        </w:rPr>
        <w:t xml:space="preserve"> </w:t>
      </w:r>
      <w:r w:rsidR="00957D0B" w:rsidRPr="0065775D">
        <w:rPr>
          <w:rFonts w:ascii="Arial" w:eastAsia="Calibri" w:hAnsi="Arial" w:cs="Arial"/>
          <w:color w:val="000000"/>
          <w:lang w:val="en"/>
        </w:rPr>
        <w:t xml:space="preserve">4HPR.  </w:t>
      </w:r>
      <w:r w:rsidR="00A311B7" w:rsidRPr="0065775D">
        <w:rPr>
          <w:rFonts w:ascii="Arial" w:eastAsia="Calibri" w:hAnsi="Arial" w:cs="Arial"/>
          <w:color w:val="000000"/>
          <w:lang w:val="en"/>
        </w:rPr>
        <w:t>In order to optimize efficacy from local CR dosage forms</w:t>
      </w:r>
      <w:r w:rsidR="00957D0B" w:rsidRPr="0065775D">
        <w:rPr>
          <w:rFonts w:ascii="Arial" w:eastAsia="Calibri" w:hAnsi="Arial" w:cs="Arial"/>
          <w:color w:val="000000"/>
          <w:lang w:val="en"/>
        </w:rPr>
        <w:t xml:space="preserve">, </w:t>
      </w:r>
      <w:r w:rsidR="00A311B7" w:rsidRPr="0065775D">
        <w:rPr>
          <w:rFonts w:ascii="Arial" w:eastAsia="Calibri" w:hAnsi="Arial" w:cs="Arial"/>
          <w:color w:val="000000"/>
          <w:lang w:val="en"/>
        </w:rPr>
        <w:t xml:space="preserve">the objective of this research is to understand how to optimize the penetration distance into tissue of the </w:t>
      </w:r>
      <w:r w:rsidR="00A311B7" w:rsidRPr="0065775D">
        <w:rPr>
          <w:rFonts w:ascii="Arial" w:eastAsia="Times New Roman" w:hAnsi="Arial" w:cs="Arial"/>
          <w:color w:val="000000"/>
        </w:rPr>
        <w:t xml:space="preserve">4HPR </w:t>
      </w:r>
      <w:r w:rsidR="00957D0B" w:rsidRPr="0065775D">
        <w:rPr>
          <w:rFonts w:ascii="Arial" w:eastAsia="Times New Roman" w:hAnsi="Arial" w:cs="Arial"/>
          <w:color w:val="000000"/>
        </w:rPr>
        <w:t xml:space="preserve">parent drug and respective metabolites.   </w:t>
      </w:r>
    </w:p>
    <w:p w:rsidR="00527CD1" w:rsidRPr="0049324E" w:rsidRDefault="00957D0B" w:rsidP="0049324E">
      <w:pPr>
        <w:numPr>
          <w:ilvl w:val="0"/>
          <w:numId w:val="1"/>
        </w:numPr>
        <w:tabs>
          <w:tab w:val="num" w:pos="720"/>
        </w:tabs>
        <w:spacing w:line="360" w:lineRule="auto"/>
        <w:ind w:left="0" w:firstLine="0"/>
        <w:rPr>
          <w:rFonts w:ascii="Arial" w:hAnsi="Arial" w:cs="Arial"/>
        </w:rPr>
      </w:pPr>
      <w:r w:rsidRPr="0065775D">
        <w:rPr>
          <w:rFonts w:ascii="Arial" w:eastAsia="Times New Roman" w:hAnsi="Arial" w:cs="Arial"/>
          <w:color w:val="000000"/>
        </w:rPr>
        <w:t>To accomplish th</w:t>
      </w:r>
      <w:r w:rsidR="00A311B7" w:rsidRPr="0065775D">
        <w:rPr>
          <w:rFonts w:ascii="Arial" w:eastAsia="Times New Roman" w:hAnsi="Arial" w:cs="Arial"/>
          <w:color w:val="000000"/>
        </w:rPr>
        <w:t>is objective</w:t>
      </w:r>
      <w:r w:rsidRPr="0065775D">
        <w:rPr>
          <w:rFonts w:ascii="Arial" w:eastAsia="Times New Roman" w:hAnsi="Arial" w:cs="Arial"/>
          <w:color w:val="000000"/>
        </w:rPr>
        <w:t xml:space="preserve">, </w:t>
      </w:r>
      <w:r w:rsidR="00146E89" w:rsidRPr="0065775D">
        <w:rPr>
          <w:rFonts w:ascii="Arial" w:hAnsi="Arial" w:cs="Arial"/>
        </w:rPr>
        <w:t xml:space="preserve">our goal was to develop and test </w:t>
      </w:r>
      <w:r w:rsidR="00146E89" w:rsidRPr="0065775D">
        <w:rPr>
          <w:rFonts w:ascii="Arial" w:hAnsi="Arial" w:cs="Arial"/>
          <w:i/>
        </w:rPr>
        <w:t xml:space="preserve">in vitro </w:t>
      </w:r>
      <w:r w:rsidR="00146E89" w:rsidRPr="0065775D">
        <w:rPr>
          <w:rFonts w:ascii="Arial" w:hAnsi="Arial" w:cs="Arial"/>
        </w:rPr>
        <w:t xml:space="preserve">and </w:t>
      </w:r>
      <w:r w:rsidR="00146E89" w:rsidRPr="0065775D">
        <w:rPr>
          <w:rFonts w:ascii="Arial" w:hAnsi="Arial" w:cs="Arial"/>
          <w:i/>
        </w:rPr>
        <w:t>in vivo</w:t>
      </w:r>
      <w:r w:rsidR="00146E89" w:rsidRPr="0065775D">
        <w:rPr>
          <w:rFonts w:ascii="Arial" w:hAnsi="Arial" w:cs="Arial"/>
        </w:rPr>
        <w:t xml:space="preserve">: a) an implantable osmotic pump for constant release and (b) implants based on </w:t>
      </w:r>
      <w:proofErr w:type="gramStart"/>
      <w:r w:rsidR="00146E89" w:rsidRPr="0065775D">
        <w:rPr>
          <w:rFonts w:ascii="Arial" w:hAnsi="Arial" w:cs="Arial"/>
        </w:rPr>
        <w:t>poly(</w:t>
      </w:r>
      <w:proofErr w:type="gramEnd"/>
      <w:r w:rsidR="00146E89" w:rsidRPr="0065775D">
        <w:rPr>
          <w:rFonts w:ascii="Arial" w:hAnsi="Arial" w:cs="Arial"/>
        </w:rPr>
        <w:t xml:space="preserve">lactic-co-glycolic acid) (PLGA) for intraoral injection directly below the lesion site.  For the initial tissue-distribution studies, </w:t>
      </w:r>
      <w:proofErr w:type="spellStart"/>
      <w:r w:rsidR="00146E89" w:rsidRPr="0065775D">
        <w:rPr>
          <w:rFonts w:ascii="Arial" w:hAnsi="Arial" w:cs="Arial"/>
        </w:rPr>
        <w:t>Alzet</w:t>
      </w:r>
      <w:proofErr w:type="spellEnd"/>
      <w:r w:rsidR="00146E89" w:rsidRPr="0065775D">
        <w:rPr>
          <w:rFonts w:ascii="Arial" w:hAnsi="Arial" w:cs="Arial"/>
        </w:rPr>
        <w:t xml:space="preserve"> osmotic pumps were </w:t>
      </w:r>
      <w:r w:rsidR="00146E89" w:rsidRPr="0065775D">
        <w:rPr>
          <w:rFonts w:ascii="Arial" w:eastAsia="Times New Roman" w:hAnsi="Arial" w:cs="Arial"/>
          <w:color w:val="000000"/>
        </w:rPr>
        <w:t>implanted subcutaneously</w:t>
      </w:r>
      <w:r w:rsidR="001A0001" w:rsidRPr="0065775D">
        <w:rPr>
          <w:rFonts w:ascii="Arial" w:eastAsia="Times New Roman" w:hAnsi="Arial" w:cs="Arial"/>
          <w:color w:val="000000"/>
        </w:rPr>
        <w:t xml:space="preserve"> (SC)</w:t>
      </w:r>
      <w:r w:rsidR="00146E89" w:rsidRPr="0065775D">
        <w:rPr>
          <w:rFonts w:ascii="Arial" w:eastAsia="Times New Roman" w:hAnsi="Arial" w:cs="Arial"/>
          <w:color w:val="000000"/>
        </w:rPr>
        <w:t xml:space="preserve"> </w:t>
      </w:r>
      <w:r w:rsidR="00C23475" w:rsidRPr="0065775D">
        <w:rPr>
          <w:rFonts w:ascii="Arial" w:eastAsia="Times New Roman" w:hAnsi="Arial" w:cs="Arial"/>
          <w:color w:val="000000"/>
        </w:rPr>
        <w:t xml:space="preserve">in </w:t>
      </w:r>
      <w:r w:rsidR="00146E89" w:rsidRPr="0065775D">
        <w:rPr>
          <w:rFonts w:ascii="Arial" w:eastAsia="Times New Roman" w:hAnsi="Arial" w:cs="Arial"/>
          <w:color w:val="000000"/>
        </w:rPr>
        <w:t xml:space="preserve">mice and set </w:t>
      </w:r>
      <w:r w:rsidR="00C23475" w:rsidRPr="0065775D">
        <w:rPr>
          <w:rFonts w:ascii="Arial" w:eastAsia="Times New Roman" w:hAnsi="Arial" w:cs="Arial"/>
          <w:color w:val="000000"/>
        </w:rPr>
        <w:t>to deliver 4</w:t>
      </w:r>
      <w:r w:rsidR="00146E89" w:rsidRPr="0065775D">
        <w:rPr>
          <w:rFonts w:ascii="Arial" w:eastAsia="Times New Roman" w:hAnsi="Arial" w:cs="Arial"/>
          <w:color w:val="000000"/>
        </w:rPr>
        <w:t xml:space="preserve">HPR locally over 7 days.  </w:t>
      </w:r>
      <w:r w:rsidR="0065775D" w:rsidRPr="0065775D">
        <w:rPr>
          <w:rFonts w:ascii="Arial" w:eastAsia="Times New Roman" w:hAnsi="Arial" w:cs="Arial"/>
          <w:color w:val="000000"/>
        </w:rPr>
        <w:t>D</w:t>
      </w:r>
      <w:r w:rsidRPr="0065775D">
        <w:rPr>
          <w:rFonts w:ascii="Arial" w:eastAsia="Times New Roman" w:hAnsi="Arial" w:cs="Arial"/>
          <w:color w:val="000000"/>
        </w:rPr>
        <w:t>rug</w:t>
      </w:r>
      <w:r w:rsidR="00C23475" w:rsidRPr="0065775D">
        <w:rPr>
          <w:rFonts w:ascii="Arial" w:eastAsia="Times New Roman" w:hAnsi="Arial" w:cs="Arial"/>
          <w:color w:val="000000"/>
        </w:rPr>
        <w:t>-tissue</w:t>
      </w:r>
      <w:r w:rsidRPr="0065775D">
        <w:rPr>
          <w:rFonts w:ascii="Arial" w:eastAsia="Times New Roman" w:hAnsi="Arial" w:cs="Arial"/>
          <w:color w:val="000000"/>
        </w:rPr>
        <w:t xml:space="preserve"> levels </w:t>
      </w:r>
      <w:r w:rsidR="0065775D" w:rsidRPr="0065775D">
        <w:rPr>
          <w:rFonts w:ascii="Arial" w:eastAsia="Times New Roman" w:hAnsi="Arial" w:cs="Arial"/>
          <w:color w:val="000000"/>
        </w:rPr>
        <w:t xml:space="preserve">moving several </w:t>
      </w:r>
      <w:r w:rsidR="00FC3BA9">
        <w:rPr>
          <w:rFonts w:ascii="Arial" w:eastAsia="Times New Roman" w:hAnsi="Arial" w:cs="Arial"/>
          <w:color w:val="000000"/>
        </w:rPr>
        <w:t>millimeters</w:t>
      </w:r>
      <w:r w:rsidR="0065775D" w:rsidRPr="0065775D">
        <w:rPr>
          <w:rFonts w:ascii="Arial" w:eastAsia="Times New Roman" w:hAnsi="Arial" w:cs="Arial"/>
          <w:color w:val="000000"/>
        </w:rPr>
        <w:t xml:space="preserve"> away from the implant were observed </w:t>
      </w:r>
      <w:r w:rsidRPr="0065775D">
        <w:rPr>
          <w:rFonts w:ascii="Arial" w:eastAsia="Times New Roman" w:hAnsi="Arial" w:cs="Arial"/>
          <w:color w:val="000000"/>
        </w:rPr>
        <w:t>in vicinity of therapeutic range</w:t>
      </w:r>
      <w:r w:rsidR="00C23475" w:rsidRPr="0065775D">
        <w:rPr>
          <w:rFonts w:ascii="Arial" w:eastAsia="Times New Roman" w:hAnsi="Arial" w:cs="Arial"/>
          <w:color w:val="000000"/>
        </w:rPr>
        <w:t xml:space="preserve"> </w:t>
      </w:r>
      <w:r w:rsidR="00A311B7" w:rsidRPr="0065775D">
        <w:rPr>
          <w:rFonts w:ascii="Arial" w:eastAsia="Times New Roman" w:hAnsi="Arial" w:cs="Arial"/>
          <w:color w:val="000000"/>
        </w:rPr>
        <w:t xml:space="preserve">at a daily </w:t>
      </w:r>
      <w:r w:rsidR="00A311B7" w:rsidRPr="00600559">
        <w:rPr>
          <w:rFonts w:ascii="Arial" w:eastAsia="Times New Roman" w:hAnsi="Arial" w:cs="Arial"/>
          <w:color w:val="000000"/>
        </w:rPr>
        <w:t xml:space="preserve">dose of </w:t>
      </w:r>
      <w:r w:rsidR="00600559" w:rsidRPr="00600559">
        <w:rPr>
          <w:rFonts w:ascii="Arial" w:eastAsia="Times New Roman" w:hAnsi="Arial" w:cs="Arial"/>
          <w:color w:val="000000"/>
        </w:rPr>
        <w:t>60</w:t>
      </w:r>
      <w:r w:rsidR="00A311B7" w:rsidRPr="00600559">
        <w:rPr>
          <w:rFonts w:ascii="Arial" w:eastAsia="Times New Roman" w:hAnsi="Arial" w:cs="Arial"/>
          <w:color w:val="000000"/>
        </w:rPr>
        <w:t xml:space="preserve"> </w:t>
      </w:r>
      <w:r w:rsidR="00A311B7" w:rsidRPr="00600559">
        <w:rPr>
          <w:rFonts w:ascii="Symbol" w:eastAsia="Times New Roman" w:hAnsi="Symbol" w:cs="Arial"/>
          <w:color w:val="000000"/>
        </w:rPr>
        <w:t></w:t>
      </w:r>
      <w:r w:rsidR="00A311B7" w:rsidRPr="00600559">
        <w:rPr>
          <w:rFonts w:ascii="Arial" w:eastAsia="Times New Roman" w:hAnsi="Arial" w:cs="Arial"/>
          <w:color w:val="000000"/>
        </w:rPr>
        <w:t>g</w:t>
      </w:r>
      <w:r w:rsidR="00A311B7" w:rsidRPr="0065775D">
        <w:rPr>
          <w:rFonts w:ascii="Arial" w:eastAsia="Times New Roman" w:hAnsi="Arial" w:cs="Arial"/>
          <w:color w:val="000000"/>
        </w:rPr>
        <w:t xml:space="preserve"> of </w:t>
      </w:r>
      <w:r w:rsidR="00600559">
        <w:rPr>
          <w:rFonts w:ascii="Arial" w:eastAsia="Times New Roman" w:hAnsi="Arial" w:cs="Arial"/>
          <w:color w:val="000000"/>
        </w:rPr>
        <w:t>4</w:t>
      </w:r>
      <w:r w:rsidR="00A311B7" w:rsidRPr="0065775D">
        <w:rPr>
          <w:rFonts w:ascii="Arial" w:eastAsia="Times New Roman" w:hAnsi="Arial" w:cs="Arial"/>
          <w:color w:val="000000"/>
        </w:rPr>
        <w:t>HPR</w:t>
      </w:r>
      <w:r w:rsidR="00C23475" w:rsidRPr="0065775D">
        <w:rPr>
          <w:rFonts w:ascii="Arial" w:eastAsia="Times New Roman" w:hAnsi="Arial" w:cs="Arial"/>
          <w:color w:val="000000"/>
        </w:rPr>
        <w:t xml:space="preserve">.  Additionally </w:t>
      </w:r>
      <w:r w:rsidRPr="0065775D">
        <w:rPr>
          <w:rFonts w:ascii="Arial" w:eastAsia="Times New Roman" w:hAnsi="Arial" w:cs="Arial"/>
          <w:color w:val="000000"/>
        </w:rPr>
        <w:t>a high-throughput</w:t>
      </w:r>
      <w:r w:rsidR="00A311B7" w:rsidRPr="0065775D">
        <w:rPr>
          <w:rFonts w:ascii="Arial" w:eastAsia="Times New Roman" w:hAnsi="Arial" w:cs="Arial"/>
          <w:color w:val="000000"/>
        </w:rPr>
        <w:t xml:space="preserve"> method to determine drug-</w:t>
      </w:r>
      <w:r w:rsidR="00C23475" w:rsidRPr="0065775D">
        <w:rPr>
          <w:rFonts w:ascii="Arial" w:eastAsia="Times New Roman" w:hAnsi="Arial" w:cs="Arial"/>
          <w:color w:val="000000"/>
        </w:rPr>
        <w:t xml:space="preserve">tissue distribution was established by tissue </w:t>
      </w:r>
      <w:proofErr w:type="spellStart"/>
      <w:r w:rsidR="00C23475" w:rsidRPr="0065775D">
        <w:rPr>
          <w:rFonts w:ascii="Arial" w:eastAsia="Times New Roman" w:hAnsi="Arial" w:cs="Arial"/>
          <w:color w:val="000000"/>
        </w:rPr>
        <w:t>cryosectioning</w:t>
      </w:r>
      <w:proofErr w:type="spellEnd"/>
      <w:r w:rsidR="00C23475" w:rsidRPr="0065775D">
        <w:rPr>
          <w:rFonts w:ascii="Arial" w:eastAsia="Times New Roman" w:hAnsi="Arial" w:cs="Arial"/>
          <w:color w:val="000000"/>
        </w:rPr>
        <w:t xml:space="preserve">, mono-phase extraction, and </w:t>
      </w:r>
      <w:r w:rsidR="0050780A" w:rsidRPr="0065775D">
        <w:rPr>
          <w:rFonts w:ascii="Arial" w:eastAsia="Times New Roman" w:hAnsi="Arial" w:cs="Arial"/>
          <w:color w:val="000000"/>
        </w:rPr>
        <w:t>assaying</w:t>
      </w:r>
      <w:r w:rsidR="00C23475" w:rsidRPr="0065775D">
        <w:rPr>
          <w:rFonts w:ascii="Arial" w:eastAsia="Times New Roman" w:hAnsi="Arial" w:cs="Arial"/>
          <w:color w:val="000000"/>
        </w:rPr>
        <w:t xml:space="preserve"> by UPLC.  </w:t>
      </w:r>
      <w:r w:rsidR="00146E89" w:rsidRPr="0065775D">
        <w:rPr>
          <w:rFonts w:ascii="Arial" w:eastAsia="Times New Roman" w:hAnsi="Arial" w:cs="Arial"/>
          <w:color w:val="000000"/>
        </w:rPr>
        <w:t>Next,</w:t>
      </w:r>
      <w:r w:rsidR="00C23475" w:rsidRPr="0065775D">
        <w:rPr>
          <w:rFonts w:ascii="Arial" w:eastAsia="Times New Roman" w:hAnsi="Arial" w:cs="Arial"/>
          <w:color w:val="000000"/>
        </w:rPr>
        <w:t xml:space="preserve"> 4</w:t>
      </w:r>
      <w:r w:rsidR="00146E89" w:rsidRPr="0065775D">
        <w:rPr>
          <w:rFonts w:ascii="Arial" w:eastAsia="Times New Roman" w:hAnsi="Arial" w:cs="Arial"/>
          <w:color w:val="000000"/>
        </w:rPr>
        <w:t xml:space="preserve">HPR was formulated into PLGA </w:t>
      </w:r>
      <w:r w:rsidR="001A0001" w:rsidRPr="0065775D">
        <w:rPr>
          <w:rFonts w:ascii="Arial" w:eastAsia="Times New Roman" w:hAnsi="Arial" w:cs="Arial"/>
          <w:color w:val="000000"/>
        </w:rPr>
        <w:t xml:space="preserve">50/50 </w:t>
      </w:r>
      <w:r w:rsidR="00A311B7" w:rsidRPr="0065775D">
        <w:rPr>
          <w:rFonts w:ascii="Arial" w:eastAsia="Times New Roman" w:hAnsi="Arial" w:cs="Arial"/>
          <w:color w:val="000000"/>
        </w:rPr>
        <w:t>implants</w:t>
      </w:r>
      <w:r w:rsidR="00146E89" w:rsidRPr="0065775D">
        <w:rPr>
          <w:rFonts w:ascii="Arial" w:eastAsia="Times New Roman" w:hAnsi="Arial" w:cs="Arial"/>
          <w:color w:val="000000"/>
        </w:rPr>
        <w:t xml:space="preserve"> and continuous release was observed </w:t>
      </w:r>
      <w:r w:rsidR="00146E89" w:rsidRPr="0065775D">
        <w:rPr>
          <w:rFonts w:ascii="Arial" w:eastAsia="Times New Roman" w:hAnsi="Arial" w:cs="Arial"/>
          <w:i/>
          <w:color w:val="000000"/>
        </w:rPr>
        <w:t>in vitro</w:t>
      </w:r>
      <w:r w:rsidR="00146E89" w:rsidRPr="0065775D">
        <w:rPr>
          <w:rFonts w:ascii="Arial" w:eastAsia="Times New Roman" w:hAnsi="Arial" w:cs="Arial"/>
          <w:color w:val="000000"/>
        </w:rPr>
        <w:t xml:space="preserve"> </w:t>
      </w:r>
      <w:r w:rsidR="00A311B7" w:rsidRPr="0065775D">
        <w:rPr>
          <w:rFonts w:ascii="Arial" w:eastAsia="Times New Roman" w:hAnsi="Arial" w:cs="Arial"/>
          <w:color w:val="000000"/>
        </w:rPr>
        <w:t>for &gt; 30 days</w:t>
      </w:r>
      <w:r w:rsidR="001A0001" w:rsidRPr="0065775D">
        <w:rPr>
          <w:rFonts w:ascii="Arial" w:eastAsia="Times New Roman" w:hAnsi="Arial" w:cs="Arial"/>
          <w:color w:val="000000"/>
        </w:rPr>
        <w:t xml:space="preserve">, although high levels of </w:t>
      </w:r>
      <w:proofErr w:type="spellStart"/>
      <w:r w:rsidR="001A0001" w:rsidRPr="0065775D">
        <w:rPr>
          <w:rFonts w:ascii="Arial" w:eastAsia="Times New Roman" w:hAnsi="Arial" w:cs="Arial"/>
          <w:color w:val="000000"/>
        </w:rPr>
        <w:t>polysorbate</w:t>
      </w:r>
      <w:proofErr w:type="spellEnd"/>
      <w:r w:rsidR="001A0001" w:rsidRPr="0065775D">
        <w:rPr>
          <w:rFonts w:ascii="Arial" w:eastAsia="Times New Roman" w:hAnsi="Arial" w:cs="Arial"/>
          <w:color w:val="000000"/>
        </w:rPr>
        <w:t xml:space="preserve"> 80 (2%</w:t>
      </w:r>
      <w:r w:rsidR="0065775D" w:rsidRPr="0065775D">
        <w:rPr>
          <w:rFonts w:ascii="Arial" w:eastAsia="Times New Roman" w:hAnsi="Arial" w:cs="Arial"/>
          <w:color w:val="000000"/>
        </w:rPr>
        <w:t xml:space="preserve"> w/w</w:t>
      </w:r>
      <w:r w:rsidR="001A0001" w:rsidRPr="0065775D">
        <w:rPr>
          <w:rFonts w:ascii="Arial" w:eastAsia="Times New Roman" w:hAnsi="Arial" w:cs="Arial"/>
          <w:color w:val="000000"/>
        </w:rPr>
        <w:t xml:space="preserve">) were </w:t>
      </w:r>
      <w:r w:rsidR="0065775D" w:rsidRPr="0065775D">
        <w:rPr>
          <w:rFonts w:ascii="Arial" w:eastAsia="Times New Roman" w:hAnsi="Arial" w:cs="Arial"/>
          <w:color w:val="000000"/>
        </w:rPr>
        <w:t>required</w:t>
      </w:r>
      <w:r w:rsidR="001A0001" w:rsidRPr="0065775D">
        <w:rPr>
          <w:rFonts w:ascii="Arial" w:eastAsia="Times New Roman" w:hAnsi="Arial" w:cs="Arial"/>
          <w:color w:val="000000"/>
        </w:rPr>
        <w:t xml:space="preserve"> in the PBS buffer to allow </w:t>
      </w:r>
      <w:proofErr w:type="spellStart"/>
      <w:r w:rsidR="001A0001" w:rsidRPr="0065775D">
        <w:rPr>
          <w:rFonts w:ascii="Arial" w:eastAsia="Times New Roman" w:hAnsi="Arial" w:cs="Arial"/>
          <w:color w:val="000000"/>
        </w:rPr>
        <w:t>solubilization</w:t>
      </w:r>
      <w:proofErr w:type="spellEnd"/>
      <w:r w:rsidR="001A0001" w:rsidRPr="0065775D">
        <w:rPr>
          <w:rFonts w:ascii="Arial" w:eastAsia="Times New Roman" w:hAnsi="Arial" w:cs="Arial"/>
          <w:color w:val="000000"/>
        </w:rPr>
        <w:t xml:space="preserve"> of the water-insoluble 4HPR</w:t>
      </w:r>
      <w:r w:rsidR="0065775D" w:rsidRPr="0065775D">
        <w:rPr>
          <w:rFonts w:ascii="Arial" w:eastAsia="Times New Roman" w:hAnsi="Arial" w:cs="Arial"/>
          <w:color w:val="000000"/>
        </w:rPr>
        <w:t xml:space="preserve"> upon release</w:t>
      </w:r>
      <w:r w:rsidR="001A0001" w:rsidRPr="0065775D">
        <w:rPr>
          <w:rFonts w:ascii="Arial" w:eastAsia="Times New Roman" w:hAnsi="Arial" w:cs="Arial"/>
          <w:color w:val="000000"/>
        </w:rPr>
        <w:t xml:space="preserve">.  After SC administration </w:t>
      </w:r>
      <w:r w:rsidR="00600559">
        <w:rPr>
          <w:rFonts w:ascii="Arial" w:eastAsia="Times New Roman" w:hAnsi="Arial" w:cs="Arial"/>
          <w:color w:val="000000"/>
        </w:rPr>
        <w:t xml:space="preserve">of </w:t>
      </w:r>
      <w:r w:rsidR="00600559" w:rsidRPr="00600559">
        <w:rPr>
          <w:rFonts w:ascii="Arial" w:eastAsia="Times New Roman" w:hAnsi="Arial" w:cs="Arial"/>
          <w:color w:val="000000"/>
        </w:rPr>
        <w:t xml:space="preserve">millicylinders </w:t>
      </w:r>
      <w:r w:rsidR="001A0001" w:rsidRPr="00600559">
        <w:rPr>
          <w:rFonts w:ascii="Arial" w:eastAsia="Times New Roman" w:hAnsi="Arial" w:cs="Arial"/>
          <w:color w:val="000000"/>
        </w:rPr>
        <w:t>in rats</w:t>
      </w:r>
      <w:r w:rsidR="00A311B7" w:rsidRPr="0065775D">
        <w:rPr>
          <w:rFonts w:ascii="Arial" w:eastAsia="Times New Roman" w:hAnsi="Arial" w:cs="Arial"/>
          <w:color w:val="000000"/>
        </w:rPr>
        <w:t xml:space="preserve"> </w:t>
      </w:r>
      <w:r w:rsidR="001A0001" w:rsidRPr="0065775D">
        <w:rPr>
          <w:rFonts w:ascii="Arial" w:eastAsia="Times New Roman" w:hAnsi="Arial" w:cs="Arial"/>
          <w:color w:val="000000"/>
        </w:rPr>
        <w:t xml:space="preserve">the initial burst release of drug was similar but slower than that found </w:t>
      </w:r>
      <w:r w:rsidR="001A0001" w:rsidRPr="00600559">
        <w:rPr>
          <w:rFonts w:ascii="Arial" w:eastAsia="Times New Roman" w:hAnsi="Arial" w:cs="Arial"/>
          <w:i/>
          <w:color w:val="000000"/>
        </w:rPr>
        <w:t>in vitro</w:t>
      </w:r>
      <w:r w:rsidR="001A0001" w:rsidRPr="0065775D">
        <w:rPr>
          <w:rFonts w:ascii="Arial" w:eastAsia="Times New Roman" w:hAnsi="Arial" w:cs="Arial"/>
          <w:color w:val="000000"/>
        </w:rPr>
        <w:t xml:space="preserve"> by 7 days.  Further </w:t>
      </w:r>
      <w:r w:rsidR="001A0001" w:rsidRPr="00600559">
        <w:rPr>
          <w:rFonts w:ascii="Arial" w:eastAsia="Times New Roman" w:hAnsi="Arial" w:cs="Arial"/>
          <w:i/>
          <w:color w:val="000000"/>
        </w:rPr>
        <w:t>in vivo</w:t>
      </w:r>
      <w:r w:rsidR="001A0001" w:rsidRPr="0065775D">
        <w:rPr>
          <w:rFonts w:ascii="Arial" w:eastAsia="Times New Roman" w:hAnsi="Arial" w:cs="Arial"/>
          <w:color w:val="000000"/>
        </w:rPr>
        <w:t xml:space="preserve"> </w:t>
      </w:r>
      <w:r w:rsidR="00A311B7" w:rsidRPr="0065775D">
        <w:rPr>
          <w:rFonts w:ascii="Arial" w:eastAsia="Times New Roman" w:hAnsi="Arial" w:cs="Arial"/>
          <w:color w:val="000000"/>
        </w:rPr>
        <w:t>release analysis is ongoing</w:t>
      </w:r>
      <w:r w:rsidR="00146E89" w:rsidRPr="0065775D">
        <w:rPr>
          <w:rFonts w:ascii="Arial" w:eastAsia="Times New Roman" w:hAnsi="Arial" w:cs="Arial"/>
          <w:color w:val="000000"/>
        </w:rPr>
        <w:t xml:space="preserve">.  </w:t>
      </w:r>
      <w:r w:rsidR="00C23475" w:rsidRPr="0065775D">
        <w:rPr>
          <w:rFonts w:ascii="Arial" w:hAnsi="Arial" w:cs="Arial"/>
        </w:rPr>
        <w:t>Due to 4</w:t>
      </w:r>
      <w:r w:rsidR="00146E89" w:rsidRPr="0065775D">
        <w:rPr>
          <w:rFonts w:ascii="Arial" w:hAnsi="Arial" w:cs="Arial"/>
        </w:rPr>
        <w:t xml:space="preserve">HPR’s extreme hydrophobicity, in certain instances several </w:t>
      </w:r>
      <w:proofErr w:type="spellStart"/>
      <w:r w:rsidR="00146E89" w:rsidRPr="0065775D">
        <w:rPr>
          <w:rFonts w:ascii="Arial" w:hAnsi="Arial" w:cs="Arial"/>
        </w:rPr>
        <w:t>solubilizers</w:t>
      </w:r>
      <w:proofErr w:type="spellEnd"/>
      <w:r w:rsidR="00146E89" w:rsidRPr="0065775D">
        <w:rPr>
          <w:rFonts w:ascii="Arial" w:hAnsi="Arial" w:cs="Arial"/>
        </w:rPr>
        <w:t xml:space="preserve"> and penetration enhancers were also incorporated into these dosage forms</w:t>
      </w:r>
      <w:r w:rsidR="001A0001" w:rsidRPr="0065775D">
        <w:rPr>
          <w:rFonts w:ascii="Arial" w:hAnsi="Arial" w:cs="Arial"/>
        </w:rPr>
        <w:t xml:space="preserve"> for</w:t>
      </w:r>
      <w:r w:rsidR="00146E89" w:rsidRPr="0065775D">
        <w:rPr>
          <w:rFonts w:ascii="Arial" w:hAnsi="Arial" w:cs="Arial"/>
        </w:rPr>
        <w:t xml:space="preserve"> future studies to </w:t>
      </w:r>
      <w:r w:rsidR="0065775D" w:rsidRPr="0065775D">
        <w:rPr>
          <w:rFonts w:ascii="Arial" w:hAnsi="Arial" w:cs="Arial"/>
        </w:rPr>
        <w:t>optimize</w:t>
      </w:r>
      <w:r w:rsidR="0050780A" w:rsidRPr="0065775D">
        <w:rPr>
          <w:rFonts w:ascii="Arial" w:hAnsi="Arial" w:cs="Arial"/>
        </w:rPr>
        <w:t xml:space="preserve"> drug-tissue penetration in healthy mice and efficacy in mice with p</w:t>
      </w:r>
      <w:r w:rsidR="00146E89" w:rsidRPr="0065775D">
        <w:rPr>
          <w:rFonts w:ascii="Arial" w:hAnsi="Arial" w:cs="Arial"/>
        </w:rPr>
        <w:t>atient-derived tumor xenografts.</w:t>
      </w:r>
      <w:r w:rsidR="0065775D" w:rsidRPr="0065775D">
        <w:rPr>
          <w:rFonts w:ascii="Arial" w:hAnsi="Arial" w:cs="Arial"/>
        </w:rPr>
        <w:t xml:space="preserve">  Hence, these studies may be useful for developing local CR of 4HPR for primary and secondary oral cancer chemoprevention.  Support: NIH R01 CA 171329.</w:t>
      </w:r>
    </w:p>
    <w:sectPr w:rsidR="00527CD1" w:rsidRPr="0049324E" w:rsidSect="0065775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27BE1"/>
    <w:multiLevelType w:val="hybridMultilevel"/>
    <w:tmpl w:val="6E0A0AB8"/>
    <w:lvl w:ilvl="0" w:tplc="84E4984A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1" w:tplc="E06E73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2" w:tplc="035C53D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3" w:tplc="A46AE0C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4" w:tplc="784098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5" w:tplc="8D3EEF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6" w:tplc="27D0E53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  <w:lvl w:ilvl="7" w:tplc="E0DAB266" w:tentative="1">
      <w:start w:val="1"/>
      <w:numFmt w:val="bullet"/>
      <w:lvlText w:val=" "/>
      <w:lvlJc w:val="left"/>
      <w:pPr>
        <w:tabs>
          <w:tab w:val="num" w:pos="7200"/>
        </w:tabs>
        <w:ind w:left="7200" w:hanging="360"/>
      </w:pPr>
      <w:rPr>
        <w:rFonts w:ascii="Tw Cen MT" w:hAnsi="Tw Cen MT" w:hint="default"/>
      </w:rPr>
    </w:lvl>
    <w:lvl w:ilvl="8" w:tplc="735616D4" w:tentative="1">
      <w:start w:val="1"/>
      <w:numFmt w:val="bullet"/>
      <w:lvlText w:val=" "/>
      <w:lvlJc w:val="left"/>
      <w:pPr>
        <w:tabs>
          <w:tab w:val="num" w:pos="7920"/>
        </w:tabs>
        <w:ind w:left="7920" w:hanging="360"/>
      </w:pPr>
      <w:rPr>
        <w:rFonts w:ascii="Tw Cen MT" w:hAnsi="Tw Cen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D1"/>
    <w:rsid w:val="00002E68"/>
    <w:rsid w:val="00072B5C"/>
    <w:rsid w:val="000F5049"/>
    <w:rsid w:val="00146E89"/>
    <w:rsid w:val="001529EF"/>
    <w:rsid w:val="00191AE9"/>
    <w:rsid w:val="001A0001"/>
    <w:rsid w:val="001A38B2"/>
    <w:rsid w:val="00246943"/>
    <w:rsid w:val="002D75D5"/>
    <w:rsid w:val="00393285"/>
    <w:rsid w:val="0049324E"/>
    <w:rsid w:val="0050780A"/>
    <w:rsid w:val="00527CD1"/>
    <w:rsid w:val="00600559"/>
    <w:rsid w:val="0065775D"/>
    <w:rsid w:val="007637F0"/>
    <w:rsid w:val="00957D0B"/>
    <w:rsid w:val="009B6156"/>
    <w:rsid w:val="00A311B7"/>
    <w:rsid w:val="00B77F36"/>
    <w:rsid w:val="00C23475"/>
    <w:rsid w:val="00F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B171B1-6B2C-4B64-9770-D2B86F44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CD1"/>
  </w:style>
  <w:style w:type="paragraph" w:styleId="Heading1">
    <w:name w:val="heading 1"/>
    <w:basedOn w:val="Normal"/>
    <w:next w:val="Normal"/>
    <w:link w:val="Heading1Char"/>
    <w:uiPriority w:val="9"/>
    <w:qFormat/>
    <w:rsid w:val="00527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C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3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1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Nieto</dc:creator>
  <cp:keywords/>
  <dc:description/>
  <cp:lastModifiedBy>Kari Nieto</cp:lastModifiedBy>
  <cp:revision>2</cp:revision>
  <cp:lastPrinted>2015-12-07T14:49:00Z</cp:lastPrinted>
  <dcterms:created xsi:type="dcterms:W3CDTF">2015-12-08T16:03:00Z</dcterms:created>
  <dcterms:modified xsi:type="dcterms:W3CDTF">2015-12-08T16:03:00Z</dcterms:modified>
</cp:coreProperties>
</file>